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88C34" w14:textId="77777777" w:rsidR="00071D34" w:rsidRPr="00071D34" w:rsidRDefault="00071D34" w:rsidP="00071D34">
      <w:r w:rsidRPr="00071D34">
        <w:rPr>
          <w:b/>
          <w:bCs/>
        </w:rPr>
        <w:t>Investment Policy </w:t>
      </w:r>
    </w:p>
    <w:p w14:paraId="7CB2E2A3" w14:textId="77777777" w:rsidR="00071D34" w:rsidRPr="00071D34" w:rsidRDefault="00071D34" w:rsidP="00071D34">
      <w:r w:rsidRPr="00071D34">
        <w:rPr>
          <w:b/>
          <w:bCs/>
        </w:rPr>
        <w:t>Purpose </w:t>
      </w:r>
    </w:p>
    <w:p w14:paraId="32E45225" w14:textId="38B646CF" w:rsidR="00A87D44" w:rsidRPr="007E4890" w:rsidRDefault="00071D34" w:rsidP="00071D34">
      <w:r w:rsidRPr="00071D34">
        <w:t xml:space="preserve">This policy establishes investment objectives, policies, </w:t>
      </w:r>
      <w:r w:rsidR="003B24D9">
        <w:t xml:space="preserve">and </w:t>
      </w:r>
      <w:r w:rsidRPr="00071D34">
        <w:t>guidelines a</w:t>
      </w:r>
      <w:r w:rsidR="00B95621">
        <w:t xml:space="preserve">pplicable to </w:t>
      </w:r>
      <w:r w:rsidR="003B24D9">
        <w:t xml:space="preserve">the </w:t>
      </w:r>
      <w:r w:rsidR="00B95621">
        <w:t xml:space="preserve">assets </w:t>
      </w:r>
      <w:r w:rsidR="007E4890">
        <w:t>owned by</w:t>
      </w:r>
      <w:r w:rsidR="007E4890" w:rsidRPr="00071D34">
        <w:t xml:space="preserve"> </w:t>
      </w:r>
      <w:r w:rsidR="007E4890" w:rsidRPr="007E4890">
        <w:t>THE E.C. SCRANTON MEMORIAL LIBRARY (the “Library”) and</w:t>
      </w:r>
      <w:r w:rsidR="007E4890">
        <w:t xml:space="preserve"> held, primarily, </w:t>
      </w:r>
      <w:r w:rsidR="00B95621">
        <w:t xml:space="preserve">for </w:t>
      </w:r>
      <w:r w:rsidR="00C80DF9">
        <w:t xml:space="preserve">long-term </w:t>
      </w:r>
      <w:r w:rsidR="00B95621">
        <w:t>investment purposes (the “Investment Assets”)</w:t>
      </w:r>
      <w:r w:rsidR="007E4890">
        <w:rPr>
          <w:b/>
          <w:bCs/>
        </w:rPr>
        <w:t xml:space="preserve">.  </w:t>
      </w:r>
      <w:r w:rsidR="007E4890" w:rsidRPr="007E4890">
        <w:t xml:space="preserve">The Investment Assets </w:t>
      </w:r>
      <w:r w:rsidR="007E4890" w:rsidRPr="00524DE6">
        <w:t xml:space="preserve">do not include </w:t>
      </w:r>
      <w:r w:rsidR="00F34530" w:rsidRPr="00524DE6">
        <w:t>the fair market value of the Library’s real and tangible assets</w:t>
      </w:r>
      <w:r w:rsidR="00F34530">
        <w:t>, no</w:t>
      </w:r>
      <w:r w:rsidR="003C7E53">
        <w:t xml:space="preserve">r </w:t>
      </w:r>
      <w:r w:rsidR="007E4890" w:rsidRPr="007E4890">
        <w:t xml:space="preserve">assets held in Trust for the benefit of the </w:t>
      </w:r>
      <w:r w:rsidR="003B24D9">
        <w:t>L</w:t>
      </w:r>
      <w:r w:rsidR="007E4890" w:rsidRPr="007E4890">
        <w:t xml:space="preserve">ibrary, including assets held in the following trusts:  </w:t>
      </w:r>
    </w:p>
    <w:p w14:paraId="6FC01A1D" w14:textId="10446557" w:rsidR="00A87D44" w:rsidRPr="00071D34" w:rsidRDefault="00A87D44" w:rsidP="007E4890">
      <w:pPr>
        <w:ind w:firstLine="720"/>
      </w:pPr>
      <w:r>
        <w:t xml:space="preserve">1. </w:t>
      </w:r>
      <w:r w:rsidR="009C51E2">
        <w:t xml:space="preserve">DECLARATION OF TRUST BY MARY E. SCRANTON FOR USE AND BENEFIT OF THE E.C. SCRANTON MEMORIAL LIBRARY” date July 11, 1913 (“Trust </w:t>
      </w:r>
      <w:r w:rsidR="009E513A">
        <w:t>#</w:t>
      </w:r>
      <w:r w:rsidR="00E27FE3">
        <w:t>1</w:t>
      </w:r>
      <w:r w:rsidR="009C51E2">
        <w:t xml:space="preserve">”); </w:t>
      </w:r>
    </w:p>
    <w:p w14:paraId="37B6AF9D" w14:textId="1103DF39" w:rsidR="00A87D44" w:rsidRPr="00071D34" w:rsidRDefault="00A87D44" w:rsidP="007E4890">
      <w:pPr>
        <w:ind w:firstLine="720"/>
      </w:pPr>
      <w:r w:rsidRPr="00071D34">
        <w:t xml:space="preserve">2. </w:t>
      </w:r>
      <w:r w:rsidR="009C51E2">
        <w:t xml:space="preserve">DECLARATION </w:t>
      </w:r>
      <w:r w:rsidR="009E513A">
        <w:t xml:space="preserve">of </w:t>
      </w:r>
      <w:r w:rsidR="009C51E2">
        <w:t xml:space="preserve">TRUST FOR THE USE AND BENEFIT of the E.C. SCRANTON MEMORIAL LIBRARY” dated October 2, 1924 (“Trust </w:t>
      </w:r>
      <w:r w:rsidR="009E513A">
        <w:t>#</w:t>
      </w:r>
      <w:r w:rsidR="00E27FE3">
        <w:t>2</w:t>
      </w:r>
      <w:r w:rsidR="009C51E2">
        <w:t>”); and</w:t>
      </w:r>
    </w:p>
    <w:p w14:paraId="29660F59" w14:textId="65C74145" w:rsidR="00A87D44" w:rsidRDefault="00A87D44" w:rsidP="007E4890">
      <w:pPr>
        <w:ind w:firstLine="720"/>
      </w:pPr>
      <w:r w:rsidRPr="00071D34">
        <w:t xml:space="preserve">3. </w:t>
      </w:r>
      <w:r w:rsidR="009C51E2">
        <w:t>The E.C. Scranton Memorial Library 1989 Endowment Trust dated March 27, 1990 (“</w:t>
      </w:r>
      <w:r w:rsidR="004A7C90">
        <w:t xml:space="preserve">Trust </w:t>
      </w:r>
      <w:r w:rsidR="009E513A">
        <w:t>#</w:t>
      </w:r>
      <w:r w:rsidR="004A7C90">
        <w:t>3</w:t>
      </w:r>
      <w:r w:rsidR="009C51E2">
        <w:t>”).</w:t>
      </w:r>
    </w:p>
    <w:p w14:paraId="75AD70DC" w14:textId="4330D265" w:rsidR="00071D34" w:rsidRPr="00071D34" w:rsidRDefault="00AE0C2F" w:rsidP="007E4890">
      <w:r>
        <w:t>This policy</w:t>
      </w:r>
      <w:r w:rsidR="00071D34" w:rsidRPr="00071D34">
        <w:t>: </w:t>
      </w:r>
    </w:p>
    <w:p w14:paraId="02C48A38" w14:textId="633E41F5" w:rsidR="006A7122" w:rsidRDefault="00AE0C2F" w:rsidP="00E158EE">
      <w:pPr>
        <w:pStyle w:val="ListParagraph"/>
        <w:numPr>
          <w:ilvl w:val="0"/>
          <w:numId w:val="1"/>
        </w:numPr>
      </w:pPr>
      <w:r>
        <w:t>defines</w:t>
      </w:r>
      <w:r w:rsidR="00B95621">
        <w:t xml:space="preserve"> </w:t>
      </w:r>
      <w:r w:rsidR="00071D34" w:rsidRPr="00071D34">
        <w:t xml:space="preserve">the responsibilities concerning the management of </w:t>
      </w:r>
      <w:r w:rsidR="00B95621">
        <w:t>Investment Assets</w:t>
      </w:r>
      <w:r>
        <w:t>;</w:t>
      </w:r>
    </w:p>
    <w:p w14:paraId="5162DF4F" w14:textId="050E85E8" w:rsidR="00071D34" w:rsidRPr="00071D34" w:rsidRDefault="003B24D9" w:rsidP="007E4890">
      <w:pPr>
        <w:pStyle w:val="ListParagraph"/>
        <w:numPr>
          <w:ilvl w:val="0"/>
          <w:numId w:val="1"/>
        </w:numPr>
      </w:pPr>
      <w:r>
        <w:t xml:space="preserve">sets investment </w:t>
      </w:r>
      <w:r w:rsidR="00071D34" w:rsidRPr="00071D34">
        <w:t>objectives</w:t>
      </w:r>
      <w:r w:rsidR="00AE0C2F">
        <w:t>;</w:t>
      </w:r>
      <w:r w:rsidR="007E4890">
        <w:t xml:space="preserve"> and</w:t>
      </w:r>
      <w:r w:rsidR="00071D34" w:rsidRPr="00071D34">
        <w:t> </w:t>
      </w:r>
    </w:p>
    <w:p w14:paraId="591DBA48" w14:textId="1933BD39" w:rsidR="00071D34" w:rsidRDefault="00071D34" w:rsidP="00AE0C2F">
      <w:pPr>
        <w:pStyle w:val="ListParagraph"/>
        <w:numPr>
          <w:ilvl w:val="0"/>
          <w:numId w:val="1"/>
        </w:numPr>
      </w:pPr>
      <w:r w:rsidRPr="00071D34">
        <w:t xml:space="preserve">confirms policies and procedures </w:t>
      </w:r>
      <w:r w:rsidR="003C7E53">
        <w:t xml:space="preserve">for </w:t>
      </w:r>
      <w:r w:rsidR="003B24D9">
        <w:t xml:space="preserve">distribution </w:t>
      </w:r>
      <w:r w:rsidRPr="00071D34">
        <w:t xml:space="preserve">of </w:t>
      </w:r>
      <w:r w:rsidR="003B24D9">
        <w:t xml:space="preserve">certain </w:t>
      </w:r>
      <w:r w:rsidR="00B95621">
        <w:t>Investment Assets</w:t>
      </w:r>
      <w:r w:rsidR="007E4890">
        <w:t xml:space="preserve">. </w:t>
      </w:r>
    </w:p>
    <w:p w14:paraId="4955CEB1" w14:textId="77777777" w:rsidR="007E4890" w:rsidRPr="00524DE6" w:rsidRDefault="007E4890" w:rsidP="00E158EE">
      <w:pPr>
        <w:pStyle w:val="ListParagraph"/>
      </w:pPr>
    </w:p>
    <w:p w14:paraId="6397BF8B" w14:textId="5622852A" w:rsidR="00071D34" w:rsidRPr="00524DE6" w:rsidRDefault="00071D34" w:rsidP="00071D34">
      <w:r w:rsidRPr="00524DE6">
        <w:rPr>
          <w:b/>
          <w:bCs/>
        </w:rPr>
        <w:t>Delegation of Responsibilities</w:t>
      </w:r>
    </w:p>
    <w:p w14:paraId="3CB2ACAD" w14:textId="233598BF" w:rsidR="003C7E53" w:rsidRPr="00701957" w:rsidRDefault="00071D34" w:rsidP="009E71B4">
      <w:r w:rsidRPr="00E158EE">
        <w:t xml:space="preserve">The </w:t>
      </w:r>
      <w:r w:rsidR="007E4890" w:rsidRPr="00E158EE">
        <w:t>Library’s</w:t>
      </w:r>
      <w:r w:rsidR="007E4890" w:rsidRPr="003C7E53">
        <w:rPr>
          <w:b/>
          <w:bCs/>
        </w:rPr>
        <w:t xml:space="preserve"> </w:t>
      </w:r>
      <w:r w:rsidRPr="00071D34">
        <w:t xml:space="preserve">Board </w:t>
      </w:r>
      <w:r w:rsidR="007E4890">
        <w:t xml:space="preserve">of </w:t>
      </w:r>
      <w:r w:rsidR="001F4867">
        <w:t>Trustees</w:t>
      </w:r>
      <w:r w:rsidR="007E4890">
        <w:t xml:space="preserve"> (the “Board”) </w:t>
      </w:r>
      <w:r w:rsidR="00AE0C2F">
        <w:t xml:space="preserve">has </w:t>
      </w:r>
      <w:r w:rsidR="001F4867">
        <w:t>the ultimate responsibility for the management of</w:t>
      </w:r>
      <w:r w:rsidRPr="00071D34">
        <w:t xml:space="preserve"> </w:t>
      </w:r>
      <w:r w:rsidR="00B95621">
        <w:t xml:space="preserve">Investment Assets.  </w:t>
      </w:r>
      <w:r w:rsidRPr="00071D34">
        <w:t xml:space="preserve">The Board has delegated supervisory responsibility for the management of </w:t>
      </w:r>
      <w:r w:rsidR="007E4890">
        <w:t>the Investment Assets</w:t>
      </w:r>
      <w:r w:rsidRPr="00071D34">
        <w:t xml:space="preserve"> to the </w:t>
      </w:r>
      <w:r w:rsidR="007E4890">
        <w:t xml:space="preserve">Board’s </w:t>
      </w:r>
      <w:r w:rsidRPr="00071D34">
        <w:t>Finance Committee</w:t>
      </w:r>
      <w:r w:rsidR="008F2712">
        <w:t xml:space="preserve"> (the “Finance Committee”)</w:t>
      </w:r>
      <w:r w:rsidR="003B24D9">
        <w:t xml:space="preserve">, </w:t>
      </w:r>
      <w:r w:rsidR="008F2712">
        <w:t>subject to the continuing oversight of the Board</w:t>
      </w:r>
      <w:r w:rsidRPr="00071D34">
        <w:t>.</w:t>
      </w:r>
      <w:r w:rsidR="007E4890">
        <w:t xml:space="preserve">  </w:t>
      </w:r>
      <w:r w:rsidR="003C7E53" w:rsidRPr="00071D34">
        <w:t xml:space="preserve">All individuals responsible for managing and investing the </w:t>
      </w:r>
      <w:r w:rsidR="003C7E53">
        <w:t>L</w:t>
      </w:r>
      <w:r w:rsidR="003C7E53" w:rsidRPr="00071D34">
        <w:t xml:space="preserve">ibrary's </w:t>
      </w:r>
      <w:r w:rsidR="003C7E53">
        <w:t>Investment Assets</w:t>
      </w:r>
      <w:r w:rsidR="003C7E53" w:rsidRPr="00071D34">
        <w:t xml:space="preserve"> must do so </w:t>
      </w:r>
      <w:r w:rsidR="003C7E53" w:rsidRPr="00E158EE">
        <w:t>in</w:t>
      </w:r>
      <w:r w:rsidR="003C7E53" w:rsidRPr="003C7E53">
        <w:rPr>
          <w:b/>
          <w:bCs/>
        </w:rPr>
        <w:t xml:space="preserve"> </w:t>
      </w:r>
      <w:r w:rsidR="003C7E53" w:rsidRPr="00071D34">
        <w:t xml:space="preserve">good faith and with the care </w:t>
      </w:r>
      <w:r w:rsidR="003C7E53" w:rsidRPr="00E158EE">
        <w:t>that</w:t>
      </w:r>
      <w:r w:rsidR="003C7E53" w:rsidRPr="003C7E53">
        <w:rPr>
          <w:b/>
          <w:bCs/>
        </w:rPr>
        <w:t xml:space="preserve"> </w:t>
      </w:r>
      <w:r w:rsidR="003C7E53" w:rsidRPr="00071D34">
        <w:t xml:space="preserve">a </w:t>
      </w:r>
      <w:r w:rsidR="003C7E53">
        <w:t>reasonabl</w:t>
      </w:r>
      <w:r w:rsidR="009E513A">
        <w:t xml:space="preserve">y </w:t>
      </w:r>
      <w:r w:rsidR="003C7E53" w:rsidRPr="00071D34">
        <w:t xml:space="preserve">prudent person in </w:t>
      </w:r>
      <w:r w:rsidR="003C7E53" w:rsidRPr="00E158EE">
        <w:t>a</w:t>
      </w:r>
      <w:r w:rsidR="003C7E53" w:rsidRPr="003C7E53">
        <w:rPr>
          <w:b/>
          <w:bCs/>
        </w:rPr>
        <w:t xml:space="preserve"> </w:t>
      </w:r>
      <w:r w:rsidR="003C7E53" w:rsidRPr="00071D34">
        <w:t>like position would exercise under similar circumstances</w:t>
      </w:r>
      <w:r w:rsidR="003C7E53">
        <w:t>.</w:t>
      </w:r>
    </w:p>
    <w:p w14:paraId="0DEFC699" w14:textId="6F576250" w:rsidR="008F2712" w:rsidRPr="00E158EE" w:rsidRDefault="007E4890" w:rsidP="00071D34">
      <w:pPr>
        <w:rPr>
          <w:u w:val="single"/>
        </w:rPr>
      </w:pPr>
      <w:r w:rsidRPr="00E158EE">
        <w:rPr>
          <w:u w:val="single"/>
        </w:rPr>
        <w:t xml:space="preserve">Board </w:t>
      </w:r>
      <w:r w:rsidR="00071D34" w:rsidRPr="00E158EE">
        <w:rPr>
          <w:u w:val="single"/>
        </w:rPr>
        <w:t>Responsibilities</w:t>
      </w:r>
    </w:p>
    <w:p w14:paraId="05973EA1" w14:textId="35E29420" w:rsidR="00071D34" w:rsidRPr="00071D34" w:rsidRDefault="003C7E53" w:rsidP="00071D34">
      <w:r>
        <w:t>It is t</w:t>
      </w:r>
      <w:r w:rsidR="00071D34" w:rsidRPr="00E158EE">
        <w:t>he</w:t>
      </w:r>
      <w:r w:rsidR="00071D34" w:rsidRPr="00071D34">
        <w:rPr>
          <w:b/>
          <w:bCs/>
        </w:rPr>
        <w:t xml:space="preserve"> </w:t>
      </w:r>
      <w:r w:rsidR="00071D34" w:rsidRPr="00071D34">
        <w:t>Board</w:t>
      </w:r>
      <w:r w:rsidR="005945C6">
        <w:t>’s responsibility</w:t>
      </w:r>
      <w:r w:rsidR="00071D34" w:rsidRPr="00071D34">
        <w:t xml:space="preserve"> </w:t>
      </w:r>
      <w:r w:rsidR="005945C6">
        <w:t>to</w:t>
      </w:r>
      <w:r w:rsidR="00071D34" w:rsidRPr="00071D34">
        <w:t xml:space="preserve"> ensure proper management of the </w:t>
      </w:r>
      <w:r w:rsidR="00B95621">
        <w:t>Investment Assets</w:t>
      </w:r>
      <w:r w:rsidR="00071D34" w:rsidRPr="005945C6">
        <w:t xml:space="preserve"> </w:t>
      </w:r>
      <w:r w:rsidR="003B24D9">
        <w:t xml:space="preserve">through </w:t>
      </w:r>
      <w:r>
        <w:t xml:space="preserve">the </w:t>
      </w:r>
      <w:r w:rsidR="008F2712" w:rsidRPr="00E158EE">
        <w:t>enact</w:t>
      </w:r>
      <w:r w:rsidR="003B24D9">
        <w:t>ment of</w:t>
      </w:r>
      <w:r w:rsidR="008F2712" w:rsidRPr="00E158EE">
        <w:t xml:space="preserve"> appropriate </w:t>
      </w:r>
      <w:r w:rsidR="00B95621" w:rsidRPr="005945C6">
        <w:t>internal</w:t>
      </w:r>
      <w:r w:rsidR="00B95621">
        <w:t xml:space="preserve"> controls</w:t>
      </w:r>
      <w:r w:rsidR="008F2712">
        <w:t xml:space="preserve"> and policies</w:t>
      </w:r>
      <w:r w:rsidR="00071D34" w:rsidRPr="00071D34">
        <w:t xml:space="preserve">. </w:t>
      </w:r>
      <w:r>
        <w:t xml:space="preserve"> </w:t>
      </w:r>
      <w:r w:rsidR="00071D34" w:rsidRPr="00071D34">
        <w:t xml:space="preserve">Based on </w:t>
      </w:r>
      <w:r w:rsidR="00071D34" w:rsidRPr="00E158EE">
        <w:t>the</w:t>
      </w:r>
      <w:r w:rsidR="00071D34" w:rsidRPr="00071D34">
        <w:rPr>
          <w:b/>
          <w:bCs/>
        </w:rPr>
        <w:t xml:space="preserve"> </w:t>
      </w:r>
      <w:r w:rsidR="00071D34" w:rsidRPr="00071D34">
        <w:t xml:space="preserve">advice and recommendations of the Finance Committee, the Board </w:t>
      </w:r>
      <w:r w:rsidR="00071D34" w:rsidRPr="00E158EE">
        <w:t>shall</w:t>
      </w:r>
      <w:r w:rsidR="00071D34" w:rsidRPr="00071D34">
        <w:t>: </w:t>
      </w:r>
    </w:p>
    <w:p w14:paraId="3AD7E805" w14:textId="2EAC3C18" w:rsidR="00071D34" w:rsidRDefault="00071D34" w:rsidP="007E4890">
      <w:pPr>
        <w:pStyle w:val="ListParagraph"/>
        <w:numPr>
          <w:ilvl w:val="0"/>
          <w:numId w:val="2"/>
        </w:numPr>
      </w:pPr>
      <w:r w:rsidRPr="00071D34">
        <w:t>a</w:t>
      </w:r>
      <w:r w:rsidR="00266928">
        <w:t>dopt</w:t>
      </w:r>
      <w:r w:rsidRPr="00071D34">
        <w:t xml:space="preserve"> investment policies and objectives </w:t>
      </w:r>
      <w:r w:rsidR="003B24D9">
        <w:t xml:space="preserve">relating to </w:t>
      </w:r>
      <w:r w:rsidR="00B95621">
        <w:t>the Investment Assets</w:t>
      </w:r>
      <w:r w:rsidR="005945C6">
        <w:t xml:space="preserve">; and </w:t>
      </w:r>
    </w:p>
    <w:p w14:paraId="036AFD4A" w14:textId="7FCBBAFD" w:rsidR="00524DE6" w:rsidRPr="004A7C90" w:rsidRDefault="005945C6" w:rsidP="00071D34">
      <w:pPr>
        <w:pStyle w:val="ListParagraph"/>
        <w:numPr>
          <w:ilvl w:val="0"/>
          <w:numId w:val="2"/>
        </w:numPr>
      </w:pPr>
      <w:r>
        <w:t xml:space="preserve">cause the Finance Committee Chair </w:t>
      </w:r>
      <w:r w:rsidR="00266928">
        <w:t xml:space="preserve">to modify or </w:t>
      </w:r>
      <w:r>
        <w:t>divest any investment or class of investments.</w:t>
      </w:r>
    </w:p>
    <w:p w14:paraId="79105F0E" w14:textId="77777777" w:rsidR="004A7C90" w:rsidRDefault="004A7C90" w:rsidP="00524DE6">
      <w:pPr>
        <w:rPr>
          <w:u w:val="single"/>
        </w:rPr>
      </w:pPr>
    </w:p>
    <w:p w14:paraId="323C1526" w14:textId="77777777" w:rsidR="004A7C90" w:rsidRDefault="004A7C90" w:rsidP="00524DE6">
      <w:pPr>
        <w:rPr>
          <w:u w:val="single"/>
        </w:rPr>
      </w:pPr>
    </w:p>
    <w:p w14:paraId="04953144" w14:textId="041B9BFE" w:rsidR="004A7C90" w:rsidRDefault="00071D34" w:rsidP="00524DE6">
      <w:pPr>
        <w:rPr>
          <w:u w:val="single"/>
        </w:rPr>
      </w:pPr>
      <w:r w:rsidRPr="00E158EE">
        <w:rPr>
          <w:u w:val="single"/>
        </w:rPr>
        <w:t>Finance Committee </w:t>
      </w:r>
      <w:r w:rsidR="000F5F11" w:rsidRPr="00E158EE">
        <w:rPr>
          <w:u w:val="single"/>
        </w:rPr>
        <w:t>Responsibilities</w:t>
      </w:r>
    </w:p>
    <w:p w14:paraId="6AC2585D" w14:textId="0FAD40A2" w:rsidR="000C1F3A" w:rsidRPr="004A7C90" w:rsidRDefault="00C80D3E" w:rsidP="00524DE6">
      <w:pPr>
        <w:rPr>
          <w:u w:val="single"/>
        </w:rPr>
      </w:pPr>
      <w:r>
        <w:t xml:space="preserve">The Finance Committee </w:t>
      </w:r>
      <w:r w:rsidR="003C7E53">
        <w:t xml:space="preserve">is </w:t>
      </w:r>
      <w:r w:rsidRPr="00071D34">
        <w:t>responsible for the day-to-day administration</w:t>
      </w:r>
      <w:r w:rsidR="003C7E53">
        <w:t>, management</w:t>
      </w:r>
      <w:r w:rsidRPr="00071D34">
        <w:t xml:space="preserve"> and implementation of </w:t>
      </w:r>
      <w:r w:rsidR="003C7E53">
        <w:t xml:space="preserve">the objectives and </w:t>
      </w:r>
      <w:r w:rsidRPr="00071D34">
        <w:t xml:space="preserve">policies established by the Board </w:t>
      </w:r>
      <w:r w:rsidR="003C7E53">
        <w:t xml:space="preserve">relating to </w:t>
      </w:r>
      <w:r>
        <w:t xml:space="preserve">the Investment </w:t>
      </w:r>
      <w:r>
        <w:lastRenderedPageBreak/>
        <w:t>Assets</w:t>
      </w:r>
      <w:r w:rsidRPr="00071D34">
        <w:t xml:space="preserve">. </w:t>
      </w:r>
      <w:r>
        <w:t xml:space="preserve"> The Finance Committee Chair </w:t>
      </w:r>
      <w:r w:rsidR="005945C6">
        <w:t xml:space="preserve">shall report </w:t>
      </w:r>
      <w:r w:rsidR="003B24D9">
        <w:t xml:space="preserve">periodically to the Library Director and </w:t>
      </w:r>
      <w:r w:rsidR="005945C6">
        <w:t>to t</w:t>
      </w:r>
      <w:r w:rsidR="00266928">
        <w:t xml:space="preserve">he Board </w:t>
      </w:r>
      <w:r w:rsidR="005945C6">
        <w:t xml:space="preserve">on the state of the Investment Assets.  The Finance Committee Chair </w:t>
      </w:r>
      <w:r w:rsidRPr="00366F5A">
        <w:t>shall</w:t>
      </w:r>
      <w:r w:rsidRPr="00071D34">
        <w:t xml:space="preserve"> be the primary liaison between </w:t>
      </w:r>
      <w:r>
        <w:t xml:space="preserve">the Library </w:t>
      </w:r>
      <w:r w:rsidR="003B24D9">
        <w:t xml:space="preserve">and </w:t>
      </w:r>
      <w:r>
        <w:t xml:space="preserve">any external </w:t>
      </w:r>
      <w:r w:rsidR="005945C6">
        <w:t>party</w:t>
      </w:r>
      <w:r>
        <w:t xml:space="preserve"> (</w:t>
      </w:r>
      <w:r w:rsidR="005945C6">
        <w:t xml:space="preserve">an </w:t>
      </w:r>
      <w:r>
        <w:t xml:space="preserve">“Investment Consultant”) </w:t>
      </w:r>
      <w:r w:rsidR="00266928">
        <w:t xml:space="preserve">regarding </w:t>
      </w:r>
      <w:r>
        <w:t xml:space="preserve">the Investment Assets. </w:t>
      </w:r>
      <w:r w:rsidRPr="00071D34">
        <w:t xml:space="preserve"> </w:t>
      </w:r>
      <w:r w:rsidR="00071D34" w:rsidRPr="00071D34">
        <w:t xml:space="preserve">In consideration of the foregoing, the </w:t>
      </w:r>
      <w:r w:rsidR="00817222">
        <w:t xml:space="preserve">Finance </w:t>
      </w:r>
      <w:r w:rsidR="00071D34" w:rsidRPr="00071D34">
        <w:t xml:space="preserve">Committee </w:t>
      </w:r>
      <w:r w:rsidR="00071D34" w:rsidRPr="00E158EE">
        <w:t>shall</w:t>
      </w:r>
      <w:r w:rsidR="00071D34" w:rsidRPr="00071D34">
        <w:t>: </w:t>
      </w:r>
    </w:p>
    <w:p w14:paraId="59F1D75A" w14:textId="1A63AF1B" w:rsidR="003C7E53" w:rsidRPr="00E158EE" w:rsidRDefault="00701957" w:rsidP="003C7E53">
      <w:pPr>
        <w:pStyle w:val="ListParagraph"/>
        <w:numPr>
          <w:ilvl w:val="0"/>
          <w:numId w:val="6"/>
        </w:numPr>
      </w:pPr>
      <w:r w:rsidRPr="00701957">
        <w:t xml:space="preserve">convene </w:t>
      </w:r>
      <w:r w:rsidR="00071D34" w:rsidRPr="00701957">
        <w:t>regularly to evaluate whether this policy</w:t>
      </w:r>
      <w:r w:rsidR="00071D34" w:rsidRPr="00701957">
        <w:rPr>
          <w:b/>
          <w:bCs/>
        </w:rPr>
        <w:t xml:space="preserve">, </w:t>
      </w:r>
      <w:r w:rsidR="00071D34" w:rsidRPr="00701957">
        <w:t xml:space="preserve">investment activities, risk management controls and processes </w:t>
      </w:r>
      <w:r w:rsidR="004A7C90">
        <w:t xml:space="preserve">are </w:t>
      </w:r>
      <w:r w:rsidR="00071D34" w:rsidRPr="00701957">
        <w:t xml:space="preserve">consistent with </w:t>
      </w:r>
      <w:r w:rsidRPr="00E158EE">
        <w:t xml:space="preserve">the Board’s </w:t>
      </w:r>
      <w:r w:rsidR="003C7E53">
        <w:t>objectives and policies</w:t>
      </w:r>
      <w:r w:rsidRPr="00E158EE">
        <w:t xml:space="preserve"> and</w:t>
      </w:r>
      <w:r>
        <w:t xml:space="preserve"> </w:t>
      </w:r>
      <w:r w:rsidRPr="00E158EE">
        <w:t>the activities of a reasonably prudent investor</w:t>
      </w:r>
      <w:r w:rsidR="003B24D9">
        <w:t>;</w:t>
      </w:r>
      <w:r w:rsidRPr="00E158EE">
        <w:t xml:space="preserve"> </w:t>
      </w:r>
    </w:p>
    <w:p w14:paraId="4CA012C5" w14:textId="1F1D4180" w:rsidR="003C7E53" w:rsidRDefault="00071D34" w:rsidP="009E71B4">
      <w:pPr>
        <w:pStyle w:val="ListParagraph"/>
        <w:numPr>
          <w:ilvl w:val="0"/>
          <w:numId w:val="6"/>
        </w:numPr>
      </w:pPr>
      <w:r w:rsidRPr="007341D8">
        <w:t xml:space="preserve">contract with any necessary </w:t>
      </w:r>
      <w:r w:rsidR="00266928">
        <w:t>I</w:t>
      </w:r>
      <w:r w:rsidRPr="007341D8">
        <w:t xml:space="preserve">nvestment </w:t>
      </w:r>
      <w:r w:rsidR="00266928">
        <w:t>C</w:t>
      </w:r>
      <w:r w:rsidRPr="007341D8">
        <w:t>onsultants</w:t>
      </w:r>
      <w:r w:rsidR="00701957" w:rsidRPr="00E158EE">
        <w:t xml:space="preserve"> and </w:t>
      </w:r>
      <w:r w:rsidRPr="007341D8">
        <w:t xml:space="preserve">ensure that </w:t>
      </w:r>
      <w:r w:rsidR="004919B3">
        <w:t xml:space="preserve">such </w:t>
      </w:r>
      <w:r w:rsidRPr="007341D8">
        <w:t xml:space="preserve">service providers adhere to </w:t>
      </w:r>
      <w:r w:rsidRPr="00E158EE">
        <w:t xml:space="preserve">the </w:t>
      </w:r>
      <w:r w:rsidRPr="007341D8">
        <w:t xml:space="preserve">terms and conditions of </w:t>
      </w:r>
      <w:r w:rsidRPr="00E158EE">
        <w:t xml:space="preserve">their </w:t>
      </w:r>
      <w:r w:rsidRPr="007341D8">
        <w:t>contracts</w:t>
      </w:r>
      <w:r w:rsidR="004919B3">
        <w:t xml:space="preserve"> and </w:t>
      </w:r>
      <w:r w:rsidRPr="00E158EE">
        <w:t xml:space="preserve">have </w:t>
      </w:r>
      <w:r w:rsidRPr="007341D8">
        <w:t xml:space="preserve">no </w:t>
      </w:r>
      <w:r w:rsidRPr="00E158EE">
        <w:t xml:space="preserve">material </w:t>
      </w:r>
      <w:r w:rsidRPr="007341D8">
        <w:t xml:space="preserve">conflicts with the interests of the </w:t>
      </w:r>
      <w:r w:rsidR="00266928">
        <w:t>L</w:t>
      </w:r>
      <w:r w:rsidRPr="00E158EE">
        <w:t>ibrary</w:t>
      </w:r>
      <w:r w:rsidR="004919B3">
        <w:t xml:space="preserve"> </w:t>
      </w:r>
      <w:r w:rsidRPr="007341D8">
        <w:t>and</w:t>
      </w:r>
      <w:r w:rsidR="004919B3">
        <w:t xml:space="preserve"> that </w:t>
      </w:r>
      <w:r w:rsidRPr="007341D8">
        <w:t xml:space="preserve">performance monitoring systems are sufficient to provide the Finance Committee with </w:t>
      </w:r>
      <w:r w:rsidRPr="00E158EE">
        <w:t xml:space="preserve">timely, accurate </w:t>
      </w:r>
      <w:r w:rsidRPr="007341D8">
        <w:t>and useful information</w:t>
      </w:r>
      <w:r w:rsidR="004919B3">
        <w:t>;</w:t>
      </w:r>
      <w:r w:rsidR="00EC6ECD">
        <w:t xml:space="preserve"> </w:t>
      </w:r>
    </w:p>
    <w:p w14:paraId="7336ECCE" w14:textId="1FC6BF8F" w:rsidR="003C7E53" w:rsidRDefault="003C7E53" w:rsidP="00EC6ECD">
      <w:pPr>
        <w:pStyle w:val="ListParagraph"/>
        <w:numPr>
          <w:ilvl w:val="0"/>
          <w:numId w:val="7"/>
        </w:numPr>
      </w:pPr>
      <w:r w:rsidRPr="00701957">
        <w:t xml:space="preserve">monitor and evaluate the performance of </w:t>
      </w:r>
      <w:r>
        <w:t>Investment Consultants</w:t>
      </w:r>
      <w:r w:rsidRPr="00701957">
        <w:rPr>
          <w:b/>
          <w:bCs/>
        </w:rPr>
        <w:t xml:space="preserve"> </w:t>
      </w:r>
      <w:r w:rsidRPr="00701957">
        <w:t>a</w:t>
      </w:r>
      <w:r w:rsidR="00320084">
        <w:t xml:space="preserve">nd their </w:t>
      </w:r>
      <w:r w:rsidRPr="00701957">
        <w:t>management of the Invest</w:t>
      </w:r>
      <w:r w:rsidRPr="00E158EE">
        <w:t>ments Assets</w:t>
      </w:r>
      <w:r>
        <w:t xml:space="preserve">; </w:t>
      </w:r>
    </w:p>
    <w:p w14:paraId="5C7A5F09" w14:textId="547AA90B" w:rsidR="007341D8" w:rsidRDefault="007341D8" w:rsidP="00EC6ECD">
      <w:pPr>
        <w:pStyle w:val="ListParagraph"/>
        <w:numPr>
          <w:ilvl w:val="0"/>
          <w:numId w:val="7"/>
        </w:numPr>
      </w:pPr>
      <w:r w:rsidRPr="007341D8">
        <w:t>recommend the retention and/or the dismissal of Investment Consultants</w:t>
      </w:r>
      <w:r w:rsidR="00524DE6">
        <w:t>; and</w:t>
      </w:r>
    </w:p>
    <w:p w14:paraId="14106CDE" w14:textId="02FDBBAA" w:rsidR="00524DE6" w:rsidRPr="007341D8" w:rsidRDefault="00524DE6" w:rsidP="00EC6ECD">
      <w:pPr>
        <w:pStyle w:val="ListParagraph"/>
        <w:numPr>
          <w:ilvl w:val="0"/>
          <w:numId w:val="7"/>
        </w:numPr>
      </w:pPr>
      <w:r>
        <w:t xml:space="preserve">provide requested information concerning the Investment Assets </w:t>
      </w:r>
      <w:r w:rsidR="004A7C90">
        <w:t xml:space="preserve">and their management </w:t>
      </w:r>
      <w:r>
        <w:t>to the Audit Committee and the Library’s auditor.</w:t>
      </w:r>
    </w:p>
    <w:p w14:paraId="6083DDF7" w14:textId="48BA0781" w:rsidR="00071D34" w:rsidRPr="00524DE6" w:rsidRDefault="00071D34" w:rsidP="007341D8">
      <w:r w:rsidRPr="00524DE6">
        <w:rPr>
          <w:b/>
          <w:bCs/>
        </w:rPr>
        <w:t>Investment Considerations</w:t>
      </w:r>
    </w:p>
    <w:p w14:paraId="3DE7467D" w14:textId="687C8D71" w:rsidR="00071D34" w:rsidRPr="00071D34" w:rsidRDefault="00071D34" w:rsidP="00071D34">
      <w:r w:rsidRPr="00071D34">
        <w:t>In making any decision relat</w:t>
      </w:r>
      <w:r w:rsidR="00320084">
        <w:t>ed</w:t>
      </w:r>
      <w:r w:rsidRPr="00071D34">
        <w:t xml:space="preserve"> to the </w:t>
      </w:r>
      <w:r w:rsidR="00EC6ECD">
        <w:t>investment</w:t>
      </w:r>
      <w:r w:rsidRPr="00071D34">
        <w:t xml:space="preserve"> of </w:t>
      </w:r>
      <w:r w:rsidR="00EC6ECD">
        <w:t xml:space="preserve">the </w:t>
      </w:r>
      <w:r w:rsidR="00860C5D">
        <w:t>Investment Assets</w:t>
      </w:r>
      <w:r w:rsidRPr="00071D34">
        <w:t xml:space="preserve">, each of the following factors must be considered, and properly documented, in the minutes or other records of the </w:t>
      </w:r>
      <w:r w:rsidR="00320084">
        <w:t>Finance Committee or the Board</w:t>
      </w:r>
      <w:r w:rsidRPr="00071D34">
        <w:t>: </w:t>
      </w:r>
    </w:p>
    <w:p w14:paraId="1E24B978" w14:textId="00897C92" w:rsidR="006D3241" w:rsidRDefault="00071D34" w:rsidP="00E158EE">
      <w:pPr>
        <w:pStyle w:val="ListParagraph"/>
        <w:numPr>
          <w:ilvl w:val="0"/>
          <w:numId w:val="9"/>
        </w:numPr>
      </w:pPr>
      <w:r w:rsidRPr="00860C5D">
        <w:t>general economic conditions</w:t>
      </w:r>
      <w:r w:rsidR="00860C5D" w:rsidRPr="00E158EE">
        <w:t>, includ</w:t>
      </w:r>
      <w:r w:rsidR="006D3241">
        <w:t>i</w:t>
      </w:r>
      <w:r w:rsidR="00860C5D" w:rsidRPr="00E158EE">
        <w:t xml:space="preserve">ng the </w:t>
      </w:r>
      <w:r w:rsidRPr="00860C5D">
        <w:t>possible effect</w:t>
      </w:r>
      <w:r w:rsidR="00860C5D" w:rsidRPr="00E158EE">
        <w:t>s</w:t>
      </w:r>
      <w:r w:rsidRPr="00860C5D">
        <w:t xml:space="preserve"> of inflation or deflation; </w:t>
      </w:r>
    </w:p>
    <w:p w14:paraId="3C0DBD85" w14:textId="4ED42303" w:rsidR="00C80D3E" w:rsidRPr="00860C5D" w:rsidRDefault="00071D34" w:rsidP="00E158EE">
      <w:pPr>
        <w:pStyle w:val="ListParagraph"/>
        <w:numPr>
          <w:ilvl w:val="0"/>
          <w:numId w:val="9"/>
        </w:numPr>
      </w:pPr>
      <w:r w:rsidRPr="00860C5D">
        <w:t xml:space="preserve">the role that each investment or course of action plays within </w:t>
      </w:r>
      <w:r w:rsidRPr="00E158EE">
        <w:t xml:space="preserve">the overall </w:t>
      </w:r>
      <w:r w:rsidR="006D3241">
        <w:t>Board objective</w:t>
      </w:r>
      <w:r w:rsidRPr="00860C5D">
        <w:t>; </w:t>
      </w:r>
    </w:p>
    <w:p w14:paraId="47F4563F" w14:textId="509828F3" w:rsidR="00C80D3E" w:rsidRPr="00860C5D" w:rsidRDefault="00071D34" w:rsidP="00E158EE">
      <w:pPr>
        <w:pStyle w:val="ListParagraph"/>
        <w:numPr>
          <w:ilvl w:val="0"/>
          <w:numId w:val="9"/>
        </w:numPr>
      </w:pPr>
      <w:r w:rsidRPr="00860C5D">
        <w:t>expected total return</w:t>
      </w:r>
      <w:r w:rsidR="00EB0116">
        <w:t xml:space="preserve"> </w:t>
      </w:r>
      <w:r w:rsidR="00EB0116" w:rsidRPr="0025390E">
        <w:t>vis</w:t>
      </w:r>
      <w:r w:rsidR="009E513A" w:rsidRPr="0025390E">
        <w:t>-</w:t>
      </w:r>
      <w:r w:rsidR="0025390E" w:rsidRPr="0025390E">
        <w:rPr>
          <w:rFonts w:ascii="Helvetica" w:hAnsi="Helvetica"/>
          <w:color w:val="000000"/>
          <w:sz w:val="18"/>
          <w:szCs w:val="18"/>
        </w:rPr>
        <w:t>à</w:t>
      </w:r>
      <w:r w:rsidR="009E513A" w:rsidRPr="0025390E">
        <w:t>-v</w:t>
      </w:r>
      <w:r w:rsidR="00EB0116" w:rsidRPr="0025390E">
        <w:t>is relevant investment benchmarks</w:t>
      </w:r>
      <w:r w:rsidRPr="0025390E">
        <w:t>;</w:t>
      </w:r>
      <w:r w:rsidRPr="00860C5D">
        <w:t> </w:t>
      </w:r>
    </w:p>
    <w:p w14:paraId="2CB53B89" w14:textId="35F58B74" w:rsidR="00C80D3E" w:rsidRPr="00860C5D" w:rsidRDefault="00071D34" w:rsidP="00E158EE">
      <w:pPr>
        <w:pStyle w:val="ListParagraph"/>
        <w:numPr>
          <w:ilvl w:val="0"/>
          <w:numId w:val="9"/>
        </w:numPr>
      </w:pPr>
      <w:r w:rsidRPr="00860C5D">
        <w:t>other resources of the organization; </w:t>
      </w:r>
    </w:p>
    <w:p w14:paraId="72F8A225" w14:textId="141D02E2" w:rsidR="00C80D3E" w:rsidRPr="00860C5D" w:rsidRDefault="00071D34" w:rsidP="00E158EE">
      <w:pPr>
        <w:pStyle w:val="ListParagraph"/>
        <w:numPr>
          <w:ilvl w:val="0"/>
          <w:numId w:val="9"/>
        </w:numPr>
      </w:pPr>
      <w:r w:rsidRPr="00860C5D">
        <w:t>the needs of the organization and preserv</w:t>
      </w:r>
      <w:r w:rsidR="00EC6ECD">
        <w:t xml:space="preserve">ation of </w:t>
      </w:r>
      <w:r w:rsidRPr="00860C5D">
        <w:t>capital; and </w:t>
      </w:r>
    </w:p>
    <w:p w14:paraId="1F0DEAEA" w14:textId="288C8D48" w:rsidR="00EC6ECD" w:rsidRPr="00EC6ECD" w:rsidRDefault="00071D34" w:rsidP="004A7C90">
      <w:pPr>
        <w:pStyle w:val="ListParagraph"/>
        <w:numPr>
          <w:ilvl w:val="0"/>
          <w:numId w:val="9"/>
        </w:numPr>
      </w:pPr>
      <w:r w:rsidRPr="00860C5D">
        <w:t xml:space="preserve">an asset's special relationship or special </w:t>
      </w:r>
      <w:r w:rsidRPr="00E158EE">
        <w:t xml:space="preserve">value, if any, </w:t>
      </w:r>
      <w:r w:rsidRPr="00860C5D">
        <w:t>to the organization's purposes. </w:t>
      </w:r>
    </w:p>
    <w:p w14:paraId="6628EDE6" w14:textId="6499A21F" w:rsidR="00071D34" w:rsidRPr="00524DE6" w:rsidRDefault="00071D34" w:rsidP="00071D34">
      <w:r w:rsidRPr="00524DE6">
        <w:rPr>
          <w:b/>
          <w:bCs/>
        </w:rPr>
        <w:t>Investing</w:t>
      </w:r>
      <w:r w:rsidR="00B44DF6" w:rsidRPr="00524DE6">
        <w:rPr>
          <w:b/>
          <w:bCs/>
        </w:rPr>
        <w:t xml:space="preserve"> Guidelines</w:t>
      </w:r>
    </w:p>
    <w:p w14:paraId="4B3B7495" w14:textId="3A42D100" w:rsidR="00071D34" w:rsidRPr="00071D34" w:rsidRDefault="00EB0116" w:rsidP="00071D34">
      <w:r w:rsidRPr="0025390E">
        <w:t xml:space="preserve">Subject to consultation with </w:t>
      </w:r>
      <w:r w:rsidR="00E27FE3" w:rsidRPr="0025390E">
        <w:t xml:space="preserve">the </w:t>
      </w:r>
      <w:r w:rsidR="001C6143" w:rsidRPr="0025390E">
        <w:t xml:space="preserve">Library’s </w:t>
      </w:r>
      <w:r w:rsidR="00E27FE3" w:rsidRPr="0025390E">
        <w:t>I</w:t>
      </w:r>
      <w:r w:rsidRPr="0025390E">
        <w:t>nvestment Consultant</w:t>
      </w:r>
      <w:r w:rsidR="001C6143" w:rsidRPr="0025390E">
        <w:t>,</w:t>
      </w:r>
      <w:r w:rsidR="00420E3E" w:rsidRPr="0025390E">
        <w:t xml:space="preserve"> </w:t>
      </w:r>
      <w:r w:rsidRPr="0025390E">
        <w:t>which may lead to the amendment of these Guidelines,</w:t>
      </w:r>
      <w:r>
        <w:t xml:space="preserve"> </w:t>
      </w:r>
      <w:r w:rsidR="006D3241">
        <w:t>the Investment Assets</w:t>
      </w:r>
      <w:r w:rsidR="003C5BC6">
        <w:t xml:space="preserve"> </w:t>
      </w:r>
      <w:r>
        <w:t xml:space="preserve">may be invested </w:t>
      </w:r>
      <w:r w:rsidR="006D3241">
        <w:t xml:space="preserve">only </w:t>
      </w:r>
      <w:r w:rsidR="003C5BC6">
        <w:t xml:space="preserve">in the </w:t>
      </w:r>
      <w:r w:rsidR="00071D34" w:rsidRPr="00071D34">
        <w:t>following asset classes: </w:t>
      </w:r>
    </w:p>
    <w:p w14:paraId="42F464C6" w14:textId="3314D295" w:rsidR="00071D34" w:rsidRPr="00F34530" w:rsidRDefault="00FD4D59" w:rsidP="00071D34">
      <w:r w:rsidRPr="00F34530">
        <w:rPr>
          <w:u w:val="single"/>
        </w:rPr>
        <w:t>Cash and Cash Equivalents</w:t>
      </w:r>
    </w:p>
    <w:p w14:paraId="375AFD64" w14:textId="0286FD69" w:rsidR="00F34530" w:rsidRDefault="003C5BC6" w:rsidP="00071D34">
      <w:r>
        <w:t xml:space="preserve">This asset class </w:t>
      </w:r>
      <w:r w:rsidR="00320084">
        <w:t xml:space="preserve">will </w:t>
      </w:r>
      <w:r>
        <w:t>consist</w:t>
      </w:r>
      <w:r w:rsidR="00320084">
        <w:t xml:space="preserve"> </w:t>
      </w:r>
      <w:r>
        <w:t>o</w:t>
      </w:r>
      <w:r w:rsidR="00FD4D59">
        <w:t xml:space="preserve">f cash and low risk investments that can readily </w:t>
      </w:r>
      <w:r w:rsidR="00320084">
        <w:t xml:space="preserve">be </w:t>
      </w:r>
      <w:r w:rsidR="00FD4D59">
        <w:t xml:space="preserve">converted to cash </w:t>
      </w:r>
      <w:r w:rsidR="00320084">
        <w:t xml:space="preserve">and </w:t>
      </w:r>
      <w:r w:rsidR="00FD4D59">
        <w:t>that are not intended to generate significant return</w:t>
      </w:r>
      <w:r w:rsidR="004919B3">
        <w:t xml:space="preserve">s, </w:t>
      </w:r>
      <w:r w:rsidR="00FD4D59">
        <w:t>including money market funds and treasury bills.</w:t>
      </w:r>
      <w:r w:rsidRPr="00E158EE">
        <w:t xml:space="preserve">  </w:t>
      </w:r>
    </w:p>
    <w:p w14:paraId="1B7EAFFA" w14:textId="5563D549" w:rsidR="00071D34" w:rsidRPr="00E158EE" w:rsidRDefault="00071D34" w:rsidP="00071D34">
      <w:r w:rsidRPr="00F34530">
        <w:rPr>
          <w:u w:val="single"/>
        </w:rPr>
        <w:t>Fixed Income</w:t>
      </w:r>
    </w:p>
    <w:p w14:paraId="479A2C63" w14:textId="450F8AC9" w:rsidR="00C83E6D" w:rsidRPr="00CD7AA8" w:rsidRDefault="00320084" w:rsidP="003C5BC6">
      <w:r>
        <w:t xml:space="preserve">This asset class </w:t>
      </w:r>
      <w:r w:rsidR="00071D34" w:rsidRPr="00E158EE">
        <w:t xml:space="preserve">will </w:t>
      </w:r>
      <w:r w:rsidR="00071D34" w:rsidRPr="003C5BC6">
        <w:t xml:space="preserve">consist solely of fixed </w:t>
      </w:r>
      <w:r w:rsidR="00071D34" w:rsidRPr="00E158EE">
        <w:t xml:space="preserve">income </w:t>
      </w:r>
      <w:r w:rsidR="00071D34" w:rsidRPr="003C5BC6">
        <w:t xml:space="preserve">securities that </w:t>
      </w:r>
      <w:r w:rsidR="00071D34" w:rsidRPr="00E158EE">
        <w:t xml:space="preserve">have </w:t>
      </w:r>
      <w:r w:rsidR="00071D34" w:rsidRPr="003C5BC6">
        <w:t xml:space="preserve">an investment-grade rating </w:t>
      </w:r>
      <w:r w:rsidR="00071D34" w:rsidRPr="00E158EE">
        <w:t>(</w:t>
      </w:r>
      <w:r w:rsidR="00C83E6D">
        <w:t xml:space="preserve">as defined by </w:t>
      </w:r>
      <w:r w:rsidR="00C83E6D" w:rsidRPr="00524DE6">
        <w:t>S&amp;P</w:t>
      </w:r>
      <w:r w:rsidR="00F34530" w:rsidRPr="00524DE6">
        <w:t xml:space="preserve"> Global Ratings</w:t>
      </w:r>
      <w:r w:rsidR="00C83E6D" w:rsidRPr="00524DE6">
        <w:t xml:space="preserve"> or Moody’s</w:t>
      </w:r>
      <w:r w:rsidR="00F34530" w:rsidRPr="00524DE6">
        <w:t xml:space="preserve"> Investor Services</w:t>
      </w:r>
      <w:r w:rsidR="00071D34" w:rsidRPr="00524DE6">
        <w:t>)</w:t>
      </w:r>
      <w:r w:rsidR="00C83E6D" w:rsidRPr="00524DE6">
        <w:t>.</w:t>
      </w:r>
      <w:r w:rsidR="00C83E6D">
        <w:t xml:space="preserve">  </w:t>
      </w:r>
    </w:p>
    <w:p w14:paraId="766B4F98" w14:textId="71FA3865" w:rsidR="003C5BC6" w:rsidRPr="00E158EE" w:rsidRDefault="003C5BC6" w:rsidP="003C5BC6">
      <w:r w:rsidRPr="00E158EE">
        <w:rPr>
          <w:u w:val="single"/>
        </w:rPr>
        <w:t>Equities</w:t>
      </w:r>
    </w:p>
    <w:p w14:paraId="67AB1C0D" w14:textId="285EAF36" w:rsidR="003C5BC6" w:rsidRPr="00513952" w:rsidRDefault="006D3241" w:rsidP="003C5BC6">
      <w:r>
        <w:t xml:space="preserve">This asset class </w:t>
      </w:r>
      <w:r w:rsidR="004919B3">
        <w:t xml:space="preserve">will </w:t>
      </w:r>
      <w:r>
        <w:t>consist</w:t>
      </w:r>
      <w:r w:rsidR="004919B3">
        <w:t xml:space="preserve"> </w:t>
      </w:r>
      <w:r>
        <w:t>of</w:t>
      </w:r>
      <w:r w:rsidR="003C5BC6" w:rsidRPr="00513952">
        <w:t xml:space="preserve"> high-quality equity securities</w:t>
      </w:r>
      <w:r w:rsidR="00513952">
        <w:t>, including exchange</w:t>
      </w:r>
      <w:r w:rsidR="009E513A">
        <w:t>-</w:t>
      </w:r>
      <w:r w:rsidR="00513952">
        <w:t>traded funds,</w:t>
      </w:r>
      <w:r w:rsidR="003C5BC6" w:rsidRPr="00513952">
        <w:t xml:space="preserve"> traded on </w:t>
      </w:r>
      <w:r w:rsidR="00FE1D30">
        <w:t>a well-established s</w:t>
      </w:r>
      <w:r w:rsidR="003C5BC6" w:rsidRPr="00513952">
        <w:t>tock exchange</w:t>
      </w:r>
      <w:r w:rsidR="00C83E6D">
        <w:t>.</w:t>
      </w:r>
      <w:r w:rsidR="003C5BC6" w:rsidRPr="00513952">
        <w:t xml:space="preserve"> </w:t>
      </w:r>
      <w:r w:rsidR="004A7C90">
        <w:t xml:space="preserve"> </w:t>
      </w:r>
      <w:r w:rsidR="00320084">
        <w:t xml:space="preserve">  </w:t>
      </w:r>
    </w:p>
    <w:p w14:paraId="07250286" w14:textId="27526398" w:rsidR="003C5BC6" w:rsidRPr="00E158EE" w:rsidRDefault="003C5BC6" w:rsidP="003C5BC6">
      <w:r w:rsidRPr="00E158EE">
        <w:rPr>
          <w:u w:val="single"/>
        </w:rPr>
        <w:t>Prohibited Investments</w:t>
      </w:r>
    </w:p>
    <w:p w14:paraId="23D2C23E" w14:textId="77777777" w:rsidR="00595576" w:rsidRDefault="00DE1555" w:rsidP="00595576">
      <w:r w:rsidRPr="00366F5A">
        <w:t>It is acceptable to invest in equity mutual funds, fixed income funds</w:t>
      </w:r>
      <w:r w:rsidR="009E513A">
        <w:t xml:space="preserve"> </w:t>
      </w:r>
      <w:r w:rsidR="000B6A77">
        <w:t xml:space="preserve">and </w:t>
      </w:r>
      <w:r w:rsidRPr="00366F5A">
        <w:t>exchange</w:t>
      </w:r>
      <w:r w:rsidR="009E513A">
        <w:t>-t</w:t>
      </w:r>
      <w:r w:rsidRPr="00366F5A">
        <w:t xml:space="preserve">raded funds adhering to the investment characteristics identified above, as long as </w:t>
      </w:r>
      <w:r w:rsidR="000B6A77">
        <w:t xml:space="preserve">they are </w:t>
      </w:r>
      <w:r w:rsidRPr="00366F5A">
        <w:t>no-load fund</w:t>
      </w:r>
      <w:r w:rsidR="000B6A77">
        <w:t>s</w:t>
      </w:r>
      <w:r w:rsidRPr="00366F5A">
        <w:t>, without 12(b)(1) charges, which maintain</w:t>
      </w:r>
      <w:r w:rsidR="000B6A77">
        <w:t xml:space="preserve"> </w:t>
      </w:r>
      <w:r w:rsidRPr="00366F5A">
        <w:t xml:space="preserve">an expense ratio consistent </w:t>
      </w:r>
      <w:r w:rsidRPr="00513952">
        <w:t xml:space="preserve">with </w:t>
      </w:r>
      <w:r w:rsidRPr="00366F5A">
        <w:t>other funds of similar investment styles as measured by the Lipper or Morningstar rating services.</w:t>
      </w:r>
      <w:r w:rsidRPr="00513952">
        <w:t> </w:t>
      </w:r>
      <w:r w:rsidR="000B6A77">
        <w:t xml:space="preserve"> </w:t>
      </w:r>
      <w:r w:rsidR="00F2275C">
        <w:t xml:space="preserve">Investment in </w:t>
      </w:r>
      <w:r>
        <w:t xml:space="preserve">such </w:t>
      </w:r>
      <w:r w:rsidR="00F2275C">
        <w:t>diversified</w:t>
      </w:r>
      <w:r w:rsidR="00071D34" w:rsidRPr="00E158EE">
        <w:t xml:space="preserve"> </w:t>
      </w:r>
      <w:r w:rsidR="00F2275C">
        <w:t>investment vehicle</w:t>
      </w:r>
      <w:r>
        <w:t>s</w:t>
      </w:r>
      <w:r w:rsidR="00F2275C">
        <w:t xml:space="preserve"> is allowable notwithstanding that the</w:t>
      </w:r>
      <w:r>
        <w:t xml:space="preserve">y </w:t>
      </w:r>
      <w:r w:rsidR="00F2275C">
        <w:t>hold</w:t>
      </w:r>
      <w:r>
        <w:t xml:space="preserve"> </w:t>
      </w:r>
      <w:r w:rsidR="00F2275C">
        <w:t>a nominal percentage of otherwise prohibited investments</w:t>
      </w:r>
      <w:r>
        <w:t>.</w:t>
      </w:r>
      <w:r w:rsidR="00595576">
        <w:t xml:space="preserve">  </w:t>
      </w:r>
      <w:r w:rsidR="00595576" w:rsidRPr="00513952">
        <w:t>Prohibited</w:t>
      </w:r>
      <w:r w:rsidR="00595576">
        <w:t xml:space="preserve"> </w:t>
      </w:r>
      <w:r w:rsidR="00595576" w:rsidRPr="00513952">
        <w:t>investments include initial public offerings, restricted securities, private placements</w:t>
      </w:r>
      <w:r w:rsidR="00595576" w:rsidRPr="00E158EE">
        <w:t>, derivatives</w:t>
      </w:r>
      <w:r w:rsidR="00595576">
        <w:t xml:space="preserve"> </w:t>
      </w:r>
      <w:r w:rsidR="00595576" w:rsidRPr="00071D34">
        <w:t>(other than floating-rate coupon bonds)</w:t>
      </w:r>
      <w:r w:rsidR="00595576" w:rsidRPr="00E158EE">
        <w:t xml:space="preserve">, </w:t>
      </w:r>
      <w:r w:rsidR="00595576" w:rsidRPr="00513952">
        <w:t>options, futures</w:t>
      </w:r>
      <w:r w:rsidR="00595576">
        <w:t xml:space="preserve">, </w:t>
      </w:r>
      <w:r w:rsidR="00595576" w:rsidRPr="00513952">
        <w:t>margined transactions</w:t>
      </w:r>
      <w:r w:rsidR="00595576">
        <w:t xml:space="preserve">, crypto-currency, foreign exchange transactions, non-fungible tokens and </w:t>
      </w:r>
      <w:r w:rsidR="00595576" w:rsidRPr="00071D34">
        <w:t xml:space="preserve">foreign </w:t>
      </w:r>
      <w:r w:rsidR="00595576">
        <w:t xml:space="preserve">currency </w:t>
      </w:r>
      <w:r w:rsidR="00595576" w:rsidRPr="00071D34">
        <w:t>denominated bonds</w:t>
      </w:r>
      <w:r w:rsidR="00595576" w:rsidRPr="00513952">
        <w:t>.</w:t>
      </w:r>
      <w:r w:rsidR="00595576">
        <w:t xml:space="preserve">  </w:t>
      </w:r>
    </w:p>
    <w:p w14:paraId="67728808" w14:textId="77777777" w:rsidR="00595576" w:rsidRPr="00595576" w:rsidRDefault="00595576" w:rsidP="00595576">
      <w:r w:rsidRPr="00595576">
        <w:rPr>
          <w:b/>
          <w:bCs/>
        </w:rPr>
        <w:t>Annual Distribution from Investment Assets</w:t>
      </w:r>
    </w:p>
    <w:p w14:paraId="5D9A0B55" w14:textId="72F49EFD" w:rsidR="00270624" w:rsidRPr="00CD7AA8" w:rsidRDefault="00595576" w:rsidP="00595576">
      <w:r w:rsidRPr="00595576">
        <w:t>Each year, the Finance Committee shall transfer an amount from the Investment Assets to Library operating accounts (the “Annual Distribution amount”).  The Annual Distribution amount shall equal 3% of the average fair market value of the Investment Assets for each of the previous twelve quarters (excluding the immediately previous quarter).  The Library’s Investment Consultant shall calculate the Annual Distribution amount as of the first date of each fiscal year and shall report the Annual Distribution amount to the Finance Committee Chair, who shall share it with the Board.  The Board retains the ability to vote to reduce or increase the Annual Distribution amount as the Board deems necessary.</w:t>
      </w:r>
      <w:r>
        <w:t xml:space="preserve"> </w:t>
      </w:r>
    </w:p>
    <w:p w14:paraId="409577E0" w14:textId="35B65ED9" w:rsidR="00071D34" w:rsidRPr="00524DE6" w:rsidRDefault="00071D34" w:rsidP="00071D34">
      <w:r w:rsidRPr="00524DE6">
        <w:rPr>
          <w:b/>
          <w:bCs/>
        </w:rPr>
        <w:t>Donor Restrictions </w:t>
      </w:r>
    </w:p>
    <w:p w14:paraId="3B200515" w14:textId="66D22B81" w:rsidR="00E27FE3" w:rsidRDefault="00524DE6" w:rsidP="00595576">
      <w:r>
        <w:t>D</w:t>
      </w:r>
      <w:r w:rsidR="00071D34" w:rsidRPr="00E072EC">
        <w:t xml:space="preserve">onor intent shall be respected when decisions are rendered concerning </w:t>
      </w:r>
      <w:r w:rsidR="00071D34" w:rsidRPr="00E158EE">
        <w:t xml:space="preserve">the </w:t>
      </w:r>
      <w:r w:rsidR="00071D34" w:rsidRPr="00E072EC">
        <w:t>investment or expenditure of donor restricted funds</w:t>
      </w:r>
      <w:r w:rsidR="008406EB">
        <w:t>.</w:t>
      </w:r>
    </w:p>
    <w:p w14:paraId="27DBEDC7" w14:textId="111598B0" w:rsidR="00820514" w:rsidRPr="00820514" w:rsidRDefault="00820514" w:rsidP="00820514">
      <w:pPr>
        <w:jc w:val="right"/>
        <w:rPr>
          <w:i/>
        </w:rPr>
      </w:pPr>
      <w:r w:rsidRPr="00820514">
        <w:rPr>
          <w:i/>
        </w:rPr>
        <w:t xml:space="preserve">Approved by the Library Board of Trustees </w:t>
      </w:r>
      <w:r>
        <w:rPr>
          <w:i/>
        </w:rPr>
        <w:t xml:space="preserve">on </w:t>
      </w:r>
      <w:bookmarkStart w:id="0" w:name="_GoBack"/>
      <w:bookmarkEnd w:id="0"/>
      <w:r w:rsidRPr="00820514">
        <w:rPr>
          <w:i/>
        </w:rPr>
        <w:t>12/1/2025</w:t>
      </w:r>
    </w:p>
    <w:p w14:paraId="36D92CF0" w14:textId="77777777" w:rsidR="00D42ACC" w:rsidRDefault="00D42ACC"/>
    <w:sectPr w:rsidR="00D42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470A"/>
    <w:multiLevelType w:val="hybridMultilevel"/>
    <w:tmpl w:val="06F2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04C5E"/>
    <w:multiLevelType w:val="hybridMultilevel"/>
    <w:tmpl w:val="D4D46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BE3570"/>
    <w:multiLevelType w:val="hybridMultilevel"/>
    <w:tmpl w:val="F796FB5E"/>
    <w:lvl w:ilvl="0" w:tplc="FD2AD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2596D"/>
    <w:multiLevelType w:val="hybridMultilevel"/>
    <w:tmpl w:val="D3F0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C46EA"/>
    <w:multiLevelType w:val="hybridMultilevel"/>
    <w:tmpl w:val="323E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012FD"/>
    <w:multiLevelType w:val="hybridMultilevel"/>
    <w:tmpl w:val="6E66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B4E27"/>
    <w:multiLevelType w:val="hybridMultilevel"/>
    <w:tmpl w:val="B296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965DC"/>
    <w:multiLevelType w:val="hybridMultilevel"/>
    <w:tmpl w:val="343A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D2839"/>
    <w:multiLevelType w:val="hybridMultilevel"/>
    <w:tmpl w:val="4CA827A4"/>
    <w:lvl w:ilvl="0" w:tplc="FD2AD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529B3"/>
    <w:multiLevelType w:val="hybridMultilevel"/>
    <w:tmpl w:val="A894AFFE"/>
    <w:lvl w:ilvl="0" w:tplc="FD2AD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2"/>
  </w:num>
  <w:num w:numId="6">
    <w:abstractNumId w:val="8"/>
  </w:num>
  <w:num w:numId="7">
    <w:abstractNumId w:val="9"/>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34"/>
    <w:rsid w:val="000025FE"/>
    <w:rsid w:val="00040B5F"/>
    <w:rsid w:val="00071D34"/>
    <w:rsid w:val="000B6A77"/>
    <w:rsid w:val="000C1F3A"/>
    <w:rsid w:val="000F5F11"/>
    <w:rsid w:val="00102423"/>
    <w:rsid w:val="001125A7"/>
    <w:rsid w:val="001B4B80"/>
    <w:rsid w:val="001C1F57"/>
    <w:rsid w:val="001C6143"/>
    <w:rsid w:val="001F4867"/>
    <w:rsid w:val="0025390E"/>
    <w:rsid w:val="00266928"/>
    <w:rsid w:val="00270624"/>
    <w:rsid w:val="002946CB"/>
    <w:rsid w:val="00320084"/>
    <w:rsid w:val="0037799B"/>
    <w:rsid w:val="003B24D9"/>
    <w:rsid w:val="003C5BC6"/>
    <w:rsid w:val="003C7E53"/>
    <w:rsid w:val="00420E3E"/>
    <w:rsid w:val="00425989"/>
    <w:rsid w:val="004775C4"/>
    <w:rsid w:val="004919B3"/>
    <w:rsid w:val="004A7C90"/>
    <w:rsid w:val="00513952"/>
    <w:rsid w:val="00524DE6"/>
    <w:rsid w:val="005945C6"/>
    <w:rsid w:val="00595576"/>
    <w:rsid w:val="00645ACF"/>
    <w:rsid w:val="00683FFF"/>
    <w:rsid w:val="006A7122"/>
    <w:rsid w:val="006C2A8E"/>
    <w:rsid w:val="006D3241"/>
    <w:rsid w:val="00701957"/>
    <w:rsid w:val="00721838"/>
    <w:rsid w:val="007341D8"/>
    <w:rsid w:val="0078496B"/>
    <w:rsid w:val="007E4890"/>
    <w:rsid w:val="00807203"/>
    <w:rsid w:val="00817222"/>
    <w:rsid w:val="00820514"/>
    <w:rsid w:val="008406EB"/>
    <w:rsid w:val="00860C5D"/>
    <w:rsid w:val="008851A6"/>
    <w:rsid w:val="008F2712"/>
    <w:rsid w:val="00967906"/>
    <w:rsid w:val="009C51E2"/>
    <w:rsid w:val="009E513A"/>
    <w:rsid w:val="009E71B4"/>
    <w:rsid w:val="00A07A29"/>
    <w:rsid w:val="00A87D44"/>
    <w:rsid w:val="00AE0C2F"/>
    <w:rsid w:val="00B44DF6"/>
    <w:rsid w:val="00B51007"/>
    <w:rsid w:val="00B95621"/>
    <w:rsid w:val="00C02323"/>
    <w:rsid w:val="00C77468"/>
    <w:rsid w:val="00C80D3E"/>
    <w:rsid w:val="00C80DF9"/>
    <w:rsid w:val="00C83E6D"/>
    <w:rsid w:val="00CB4D32"/>
    <w:rsid w:val="00CD7AA8"/>
    <w:rsid w:val="00CE6341"/>
    <w:rsid w:val="00CF5C5F"/>
    <w:rsid w:val="00D42ACC"/>
    <w:rsid w:val="00DD21F0"/>
    <w:rsid w:val="00DE1555"/>
    <w:rsid w:val="00E072EC"/>
    <w:rsid w:val="00E158EE"/>
    <w:rsid w:val="00E27FE3"/>
    <w:rsid w:val="00E63421"/>
    <w:rsid w:val="00EB0116"/>
    <w:rsid w:val="00EC6ECD"/>
    <w:rsid w:val="00F2275C"/>
    <w:rsid w:val="00F34530"/>
    <w:rsid w:val="00FA5B75"/>
    <w:rsid w:val="00FD4D59"/>
    <w:rsid w:val="00FE1D30"/>
    <w:rsid w:val="00FE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DB2F"/>
  <w15:chartTrackingRefBased/>
  <w15:docId w15:val="{6CA62C38-5A5B-44FD-B97A-35CEFD38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D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D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D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D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D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D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D34"/>
    <w:rPr>
      <w:rFonts w:eastAsiaTheme="majorEastAsia" w:cstheme="majorBidi"/>
      <w:color w:val="272727" w:themeColor="text1" w:themeTint="D8"/>
    </w:rPr>
  </w:style>
  <w:style w:type="paragraph" w:styleId="Title">
    <w:name w:val="Title"/>
    <w:basedOn w:val="Normal"/>
    <w:next w:val="Normal"/>
    <w:link w:val="TitleChar"/>
    <w:uiPriority w:val="10"/>
    <w:qFormat/>
    <w:rsid w:val="00071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D34"/>
    <w:pPr>
      <w:spacing w:before="160"/>
      <w:jc w:val="center"/>
    </w:pPr>
    <w:rPr>
      <w:i/>
      <w:iCs/>
      <w:color w:val="404040" w:themeColor="text1" w:themeTint="BF"/>
    </w:rPr>
  </w:style>
  <w:style w:type="character" w:customStyle="1" w:styleId="QuoteChar">
    <w:name w:val="Quote Char"/>
    <w:basedOn w:val="DefaultParagraphFont"/>
    <w:link w:val="Quote"/>
    <w:uiPriority w:val="29"/>
    <w:rsid w:val="00071D34"/>
    <w:rPr>
      <w:i/>
      <w:iCs/>
      <w:color w:val="404040" w:themeColor="text1" w:themeTint="BF"/>
    </w:rPr>
  </w:style>
  <w:style w:type="paragraph" w:styleId="ListParagraph">
    <w:name w:val="List Paragraph"/>
    <w:basedOn w:val="Normal"/>
    <w:uiPriority w:val="34"/>
    <w:qFormat/>
    <w:rsid w:val="00071D34"/>
    <w:pPr>
      <w:ind w:left="720"/>
      <w:contextualSpacing/>
    </w:pPr>
  </w:style>
  <w:style w:type="character" w:styleId="IntenseEmphasis">
    <w:name w:val="Intense Emphasis"/>
    <w:basedOn w:val="DefaultParagraphFont"/>
    <w:uiPriority w:val="21"/>
    <w:qFormat/>
    <w:rsid w:val="00071D34"/>
    <w:rPr>
      <w:i/>
      <w:iCs/>
      <w:color w:val="2F5496" w:themeColor="accent1" w:themeShade="BF"/>
    </w:rPr>
  </w:style>
  <w:style w:type="paragraph" w:styleId="IntenseQuote">
    <w:name w:val="Intense Quote"/>
    <w:basedOn w:val="Normal"/>
    <w:next w:val="Normal"/>
    <w:link w:val="IntenseQuoteChar"/>
    <w:uiPriority w:val="30"/>
    <w:qFormat/>
    <w:rsid w:val="00071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D34"/>
    <w:rPr>
      <w:i/>
      <w:iCs/>
      <w:color w:val="2F5496" w:themeColor="accent1" w:themeShade="BF"/>
    </w:rPr>
  </w:style>
  <w:style w:type="character" w:styleId="IntenseReference">
    <w:name w:val="Intense Reference"/>
    <w:basedOn w:val="DefaultParagraphFont"/>
    <w:uiPriority w:val="32"/>
    <w:qFormat/>
    <w:rsid w:val="00071D34"/>
    <w:rPr>
      <w:b/>
      <w:bCs/>
      <w:smallCaps/>
      <w:color w:val="2F5496" w:themeColor="accent1" w:themeShade="BF"/>
      <w:spacing w:val="5"/>
    </w:rPr>
  </w:style>
  <w:style w:type="paragraph" w:customStyle="1" w:styleId="msonormal0">
    <w:name w:val="msonormal"/>
    <w:basedOn w:val="Normal"/>
    <w:rsid w:val="00071D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71D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B95621"/>
    <w:pPr>
      <w:spacing w:after="0" w:line="240" w:lineRule="auto"/>
    </w:pPr>
  </w:style>
  <w:style w:type="character" w:styleId="CommentReference">
    <w:name w:val="annotation reference"/>
    <w:basedOn w:val="DefaultParagraphFont"/>
    <w:uiPriority w:val="99"/>
    <w:semiHidden/>
    <w:unhideWhenUsed/>
    <w:rsid w:val="003B24D9"/>
    <w:rPr>
      <w:sz w:val="16"/>
      <w:szCs w:val="16"/>
    </w:rPr>
  </w:style>
  <w:style w:type="paragraph" w:styleId="CommentText">
    <w:name w:val="annotation text"/>
    <w:basedOn w:val="Normal"/>
    <w:link w:val="CommentTextChar"/>
    <w:uiPriority w:val="99"/>
    <w:semiHidden/>
    <w:unhideWhenUsed/>
    <w:rsid w:val="003B24D9"/>
    <w:pPr>
      <w:spacing w:line="240" w:lineRule="auto"/>
    </w:pPr>
    <w:rPr>
      <w:sz w:val="20"/>
      <w:szCs w:val="20"/>
    </w:rPr>
  </w:style>
  <w:style w:type="character" w:customStyle="1" w:styleId="CommentTextChar">
    <w:name w:val="Comment Text Char"/>
    <w:basedOn w:val="DefaultParagraphFont"/>
    <w:link w:val="CommentText"/>
    <w:uiPriority w:val="99"/>
    <w:semiHidden/>
    <w:rsid w:val="003B24D9"/>
    <w:rPr>
      <w:sz w:val="20"/>
      <w:szCs w:val="20"/>
    </w:rPr>
  </w:style>
  <w:style w:type="paragraph" w:styleId="CommentSubject">
    <w:name w:val="annotation subject"/>
    <w:basedOn w:val="CommentText"/>
    <w:next w:val="CommentText"/>
    <w:link w:val="CommentSubjectChar"/>
    <w:uiPriority w:val="99"/>
    <w:semiHidden/>
    <w:unhideWhenUsed/>
    <w:rsid w:val="003B24D9"/>
    <w:rPr>
      <w:b/>
      <w:bCs/>
    </w:rPr>
  </w:style>
  <w:style w:type="character" w:customStyle="1" w:styleId="CommentSubjectChar">
    <w:name w:val="Comment Subject Char"/>
    <w:basedOn w:val="CommentTextChar"/>
    <w:link w:val="CommentSubject"/>
    <w:uiPriority w:val="99"/>
    <w:semiHidden/>
    <w:rsid w:val="003B24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2048">
      <w:bodyDiv w:val="1"/>
      <w:marLeft w:val="0"/>
      <w:marRight w:val="0"/>
      <w:marTop w:val="0"/>
      <w:marBottom w:val="0"/>
      <w:divBdr>
        <w:top w:val="none" w:sz="0" w:space="0" w:color="auto"/>
        <w:left w:val="none" w:sz="0" w:space="0" w:color="auto"/>
        <w:bottom w:val="none" w:sz="0" w:space="0" w:color="auto"/>
        <w:right w:val="none" w:sz="0" w:space="0" w:color="auto"/>
      </w:divBdr>
    </w:div>
    <w:div w:id="13028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Ryan</dc:creator>
  <cp:keywords/>
  <dc:description/>
  <cp:lastModifiedBy>Sunnie Scarpa</cp:lastModifiedBy>
  <cp:revision>2</cp:revision>
  <cp:lastPrinted>2025-11-20T03:24:00Z</cp:lastPrinted>
  <dcterms:created xsi:type="dcterms:W3CDTF">2025-12-02T21:23:00Z</dcterms:created>
  <dcterms:modified xsi:type="dcterms:W3CDTF">2025-12-02T21:23:00Z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ac314bf6-740b-4687-ab82-e5dbc9fd7008</vt:lpwstr>
  </property>
</Properties>
</file>